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1503" w14:textId="5B0681B8" w:rsidR="00786044" w:rsidRDefault="00786044" w:rsidP="00786044">
      <w:r w:rsidRPr="00786044">
        <w:rPr>
          <w:b/>
          <w:bCs/>
        </w:rPr>
        <w:t>CODICE APPALTI, IL GOVERNO APPROVA IL CORRETTIVO</w:t>
      </w:r>
      <w:r>
        <w:rPr>
          <w:b/>
          <w:bCs/>
        </w:rPr>
        <w:t xml:space="preserve"> – </w:t>
      </w:r>
      <w:r w:rsidR="00EA271B">
        <w:rPr>
          <w:b/>
          <w:bCs/>
        </w:rPr>
        <w:t xml:space="preserve">BREVE RIEPILOGO DELLE </w:t>
      </w:r>
      <w:r>
        <w:rPr>
          <w:b/>
          <w:bCs/>
        </w:rPr>
        <w:t>NOVITA’ E LA PRIMA ANALISI DI ANCE</w:t>
      </w:r>
      <w:r w:rsidR="00EA271B">
        <w:rPr>
          <w:b/>
          <w:bCs/>
        </w:rPr>
        <w:t>.</w:t>
      </w:r>
    </w:p>
    <w:p w14:paraId="0880BCC9" w14:textId="2C3143A0" w:rsidR="00786044" w:rsidRPr="00786044" w:rsidRDefault="00786044" w:rsidP="00786044">
      <w:r>
        <w:t>Ance Brescia informa che nel C</w:t>
      </w:r>
      <w:r w:rsidRPr="00786044">
        <w:t xml:space="preserve">onsiglio dei Ministri dello scorso 21 ottobre </w:t>
      </w:r>
      <w:r>
        <w:t xml:space="preserve">il Governo ha approvato </w:t>
      </w:r>
      <w:r w:rsidRPr="00786044">
        <w:t xml:space="preserve">la bozza del </w:t>
      </w:r>
      <w:r w:rsidRPr="00786044">
        <w:t>decreto “</w:t>
      </w:r>
      <w:r w:rsidRPr="00786044">
        <w:t xml:space="preserve">correttivo” al Codice dei Contratti, </w:t>
      </w:r>
      <w:r>
        <w:t xml:space="preserve">di cui al D. Lgs. 36/2023 (si </w:t>
      </w:r>
      <w:r w:rsidRPr="00786044">
        <w:t>alleg</w:t>
      </w:r>
      <w:r>
        <w:t>a</w:t>
      </w:r>
      <w:r w:rsidRPr="00786044">
        <w:t xml:space="preserve"> lo schema in word</w:t>
      </w:r>
      <w:r>
        <w:t xml:space="preserve"> del testo entrato in </w:t>
      </w:r>
      <w:proofErr w:type="spellStart"/>
      <w:r>
        <w:t>CdM</w:t>
      </w:r>
      <w:proofErr w:type="spellEnd"/>
      <w:r>
        <w:t>)</w:t>
      </w:r>
      <w:r w:rsidRPr="00786044">
        <w:t>.</w:t>
      </w:r>
    </w:p>
    <w:p w14:paraId="7ADDDD82" w14:textId="0893584B" w:rsidR="00786044" w:rsidRDefault="00786044" w:rsidP="00786044">
      <w:r w:rsidRPr="00786044">
        <w:t>Il testo, prima di venire pubblicato</w:t>
      </w:r>
      <w:r>
        <w:t xml:space="preserve"> in via definitiva</w:t>
      </w:r>
      <w:r w:rsidRPr="00786044">
        <w:t>, dovrà ancora ricevere il parere della Conferenza unificata e poi del Parlamento, prima della sua pubblicazione in Gazzetta Ufficiale</w:t>
      </w:r>
      <w:r>
        <w:t xml:space="preserve">; </w:t>
      </w:r>
      <w:r w:rsidR="009D25CA">
        <w:t>infatti,</w:t>
      </w:r>
      <w:r>
        <w:t xml:space="preserve"> </w:t>
      </w:r>
      <w:r w:rsidRPr="00786044">
        <w:t>mancano ancora i pareri della Conferenza unificata, del Consiglio di Stato e delle commissioni parlamentari, prima di arrivare all’approvazione definitiva.</w:t>
      </w:r>
    </w:p>
    <w:p w14:paraId="2D72A9D5" w14:textId="67BAA5B2" w:rsidR="00786044" w:rsidRPr="00786044" w:rsidRDefault="00786044" w:rsidP="00786044">
      <w:pPr>
        <w:rPr>
          <w:i/>
          <w:iCs/>
        </w:rPr>
      </w:pPr>
      <w:r w:rsidRPr="00786044">
        <w:t>Il testo</w:t>
      </w:r>
      <w:r>
        <w:t xml:space="preserve">, da quanto si legge sul sito del Ministero competente, </w:t>
      </w:r>
      <w:r w:rsidRPr="00786044">
        <w:rPr>
          <w:i/>
          <w:iCs/>
        </w:rPr>
        <w:t>“</w:t>
      </w:r>
      <w:r w:rsidRPr="00786044">
        <w:rPr>
          <w:i/>
          <w:iCs/>
        </w:rPr>
        <w:t>è frutto di una consultazione che il MIT ha promosso lo scorso luglio e che ha coinvolto 94 stakeholders, di cui 77 operatori privati e 17 soggetti pubblici, che hanno presentato circa 630 contributi.</w:t>
      </w:r>
      <w:r w:rsidRPr="00786044">
        <w:rPr>
          <w:i/>
          <w:iCs/>
        </w:rPr>
        <w:t xml:space="preserve"> </w:t>
      </w:r>
      <w:r w:rsidRPr="00786044">
        <w:rPr>
          <w:i/>
          <w:iCs/>
        </w:rPr>
        <w:t>Il provvedimento introduce così alcune correzioni a sostegno degli investimenti pubblici, con un focus su dieci macro-temi principali, tra cui equo compenso, tutele lavoristiche, digitalizzazione, e revisione prezzi. Si tratta di un dossier seguito con particolare interesse dal vicepresidente del Consiglio e ministro delle Infrastrutture e dei Trasporti Matteo Salvini</w:t>
      </w:r>
      <w:r w:rsidRPr="00786044">
        <w:rPr>
          <w:i/>
          <w:iCs/>
        </w:rPr>
        <w:t>”</w:t>
      </w:r>
      <w:r w:rsidRPr="00786044">
        <w:rPr>
          <w:i/>
          <w:iCs/>
        </w:rPr>
        <w:t>.</w:t>
      </w:r>
    </w:p>
    <w:p w14:paraId="22EA2A5F" w14:textId="4B29A908" w:rsidR="00786044" w:rsidRPr="00786044" w:rsidRDefault="00786044" w:rsidP="00786044">
      <w:r w:rsidRPr="00786044">
        <w:t xml:space="preserve">I punti salienti del decreto correttivo </w:t>
      </w:r>
      <w:r w:rsidR="009D25CA">
        <w:t xml:space="preserve">elencati dal MIT </w:t>
      </w:r>
      <w:r w:rsidRPr="00786044">
        <w:t>sono:</w:t>
      </w:r>
    </w:p>
    <w:p w14:paraId="0C6837C3" w14:textId="44579E92" w:rsidR="00786044" w:rsidRDefault="00786044" w:rsidP="00786044">
      <w:r w:rsidRPr="00786044">
        <w:t>1. Equo compenso: vengono introdotti due meccanismi per garantire i principi dell’equo compenso al settore dei contratti pubblici. Per gli affidamenti diretti, è garantito un minimo dell’80% del corrispettivo previsto; per le procedure di gara, si tutela l’equo compenso con meccanismi di calmierazione del peso dei ribassi che possono essere formulati sul 35% del corrispettivo, con un risultato sostanziale assimilabile a quello degli affidamenti diretti;</w:t>
      </w:r>
      <w:r w:rsidRPr="00786044">
        <w:br/>
        <w:t>2. Tutele lavoristiche: è confermata l’applicazione di un unico contratto collettivo nel bando di gara, con nuove linee guida per consentire alle stazioni appaltanti di individuare correttamente il contratto applicabile e per calcolare l’equipollenza delle tutele in caso di ricorso ad un diverso contratto;</w:t>
      </w:r>
      <w:r w:rsidRPr="00786044">
        <w:br/>
        <w:t>3. Revisione prezzi: si chiarisce il rapporto tra revisione prezzi e principio dell’equilibrio contrattuale; si introduce inoltre un nuovo allegato per attuare le clausole di revisione dei prezzi sia nel settore lavori che nel settore servizi e forniture in maniera omogenea e con tempi certi;</w:t>
      </w:r>
      <w:r w:rsidRPr="00786044">
        <w:br/>
        <w:t>4. Incentivi ai dirigenti RUP: esteso l’incentivo tecnico anche ai dirigenti responsabili del procedimento (RUP), superando la precedente limitazione;</w:t>
      </w:r>
      <w:r w:rsidRPr="00786044">
        <w:br/>
        <w:t>5. Consorzi: razionalizzata la disciplina dei consorzi per evitare distorsioni nelle gare, omogeneizzare la disciplina applicabile ai diversi tipi di consorzi stabili e favorire la competitività;</w:t>
      </w:r>
      <w:r w:rsidRPr="00786044">
        <w:br/>
        <w:t>6. PMI: introdotte misure per facilitare la partecipazione delle PMI, sia con contratti riservati sotto la soglia europea, sia con una soglia di subappalto del 20% dedicata;</w:t>
      </w:r>
      <w:r w:rsidRPr="00786044">
        <w:br/>
        <w:t>7. Finanza di progetto: mantenuta la prelazione per il promotore, con una procedura di gara articolata in due fasi per garantire trasparenza e competitività;</w:t>
      </w:r>
      <w:r w:rsidRPr="00786044">
        <w:br/>
        <w:t>8. Garanzie fideiussorie: semplificate le procedure per agevolare l’accesso al credito da parte delle imprese;</w:t>
      </w:r>
      <w:r w:rsidRPr="00786044">
        <w:br/>
        <w:t>9. Esecuzione contratti: rafforzate le premialità e le penali per accelerare l’esecuzione delle opere; tipizzate le varianti, per creare certezza sulla fase di esecuzione; introdotto il nuovo istituto dell’accordo di collaborazione;</w:t>
      </w:r>
      <w:r w:rsidRPr="00786044">
        <w:br/>
        <w:t>10. CCT (Collegio Consultivo Tecnico): promosso come strumento di prevenzione delle controversie, con nuove limitazioni ai costi e facoltà di ricorrere a lodi contrattuali;</w:t>
      </w:r>
      <w:r w:rsidRPr="00786044">
        <w:br/>
        <w:t xml:space="preserve">11. Progettazione digitale: innalzata la soglia da 1 mln a 2 mln di euro per la progettazione in modalità digitale, obbligatoria dal </w:t>
      </w:r>
      <w:r w:rsidRPr="00786044">
        <w:t>1° gennaio</w:t>
      </w:r>
      <w:r w:rsidRPr="00786044">
        <w:t xml:space="preserve"> 2025;</w:t>
      </w:r>
      <w:r w:rsidRPr="00786044">
        <w:br/>
        <w:t xml:space="preserve">12. Qualificazione delle stazioni appaltanti: si apre il sistema di qualificazione, con incentivi alla qualificazione dei soggetti oggi non qualificati, nonché alla specializzazione dei soggetti aggregatori. Si parte </w:t>
      </w:r>
      <w:r w:rsidRPr="00786044">
        <w:lastRenderedPageBreak/>
        <w:t>anche con la qualificazione per l’esecuzione, attraverso meccanismi incentivanti che puntano sulla formazione.</w:t>
      </w:r>
    </w:p>
    <w:p w14:paraId="09B96C89" w14:textId="5D1B6B77" w:rsidR="00786044" w:rsidRDefault="00786044" w:rsidP="00786044">
      <w:pPr>
        <w:rPr>
          <w:b/>
          <w:bCs/>
        </w:rPr>
      </w:pPr>
      <w:r>
        <w:t xml:space="preserve">La conferenza stampa di presentazione è reperibile a questo link </w:t>
      </w:r>
      <w:hyperlink r:id="rId5" w:tgtFrame="_blank" w:history="1">
        <w:r w:rsidRPr="00786044">
          <w:rPr>
            <w:rStyle w:val="Collegamentoipertestuale"/>
            <w:b/>
            <w:bCs/>
          </w:rPr>
          <w:t>Il sito del Governo</w:t>
        </w:r>
        <w:r w:rsidRPr="00786044">
          <w:rPr>
            <w:rStyle w:val="Collegamentoipertestuale"/>
            <w:b/>
            <w:bCs/>
          </w:rPr>
          <w:t>:</w:t>
        </w:r>
        <w:r w:rsidRPr="00786044">
          <w:rPr>
            <w:rStyle w:val="Collegamentoipertestuale"/>
            <w:b/>
            <w:bCs/>
          </w:rPr>
          <w:t xml:space="preserve"> Consiglio dei Ministri n. 101</w:t>
        </w:r>
      </w:hyperlink>
    </w:p>
    <w:p w14:paraId="76C170DC" w14:textId="18466323" w:rsidR="00786044" w:rsidRDefault="00786044" w:rsidP="00786044">
      <w:r>
        <w:t>Per quanto riguarda il punto di vista di Ance, purtroppo si rileva che i</w:t>
      </w:r>
      <w:r w:rsidRPr="00AB1423">
        <w:t xml:space="preserve">l correttivo del Codice non contiene alcuni interventi molto attesi dalla </w:t>
      </w:r>
      <w:r>
        <w:t xml:space="preserve">nostra </w:t>
      </w:r>
      <w:r w:rsidRPr="00AB1423">
        <w:t>categoria</w:t>
      </w:r>
      <w:r>
        <w:t>, p</w:t>
      </w:r>
      <w:r w:rsidRPr="00AB1423">
        <w:t xml:space="preserve">rimo tra tutti la revisione prezzi formulata nei mesi scorsi ai tavoli tecnici del </w:t>
      </w:r>
      <w:proofErr w:type="spellStart"/>
      <w:r w:rsidRPr="00AB1423">
        <w:t>Mit</w:t>
      </w:r>
      <w:proofErr w:type="spellEnd"/>
      <w:r w:rsidRPr="00AB1423">
        <w:t xml:space="preserve"> in un lungo lavoro di confronto con le stazioni appaltanti e i professionisti. </w:t>
      </w:r>
      <w:r>
        <w:t xml:space="preserve">Per la Presidente Ance </w:t>
      </w:r>
      <w:r w:rsidRPr="00AB1423">
        <w:t>Federica Brancaccio</w:t>
      </w:r>
      <w:r w:rsidRPr="00AB1423">
        <w:t xml:space="preserve"> </w:t>
      </w:r>
      <w:r>
        <w:t xml:space="preserve">lo </w:t>
      </w:r>
      <w:r w:rsidRPr="00AB1423">
        <w:t>scenario «desta molte preoccupazioni».</w:t>
      </w:r>
    </w:p>
    <w:p w14:paraId="4AE7B719" w14:textId="2C5F3376" w:rsidR="00EA271B" w:rsidRDefault="00EA271B" w:rsidP="00EA271B">
      <w:r>
        <w:t xml:space="preserve">In un’intervista rilasciata qualche giorno fa, </w:t>
      </w:r>
      <w:r w:rsidR="009D25CA">
        <w:t xml:space="preserve">infatti, </w:t>
      </w:r>
      <w:r>
        <w:t>la Presidente conferma l’in</w:t>
      </w:r>
      <w:r w:rsidRPr="00AB1423">
        <w:t>creduli</w:t>
      </w:r>
      <w:r>
        <w:t>tà di fronte al testo normativo che riguarda</w:t>
      </w:r>
      <w:r w:rsidR="009D25CA">
        <w:t xml:space="preserve">, ad esempio, </w:t>
      </w:r>
      <w:r>
        <w:t>la revisione prezzi: “</w:t>
      </w:r>
      <w:r w:rsidRPr="00AB1423">
        <w:t xml:space="preserve">Abbiamo lavorato tantissimo sulla revisione prezzi anche ai tavoli tecnici, spezzando il tabù e spiegando di come non fosse un regalo alle imprese ma il modo per non far bloccare i cantieri, per non far fallire le aziende e far sì che il Pil di questo paese crescesse in maniera sana. Ci ritroviamo invece con un nulla di fatto. Abbiamo fatto delle simulazioni e sul lavoro medio, pluriennale, arrivi a zero in una condizione di normale inflazione. Una doccia </w:t>
      </w:r>
      <w:r w:rsidRPr="00AB1423">
        <w:t>fredda, insomma,</w:t>
      </w:r>
      <w:r w:rsidRPr="00AB1423">
        <w:t xml:space="preserve"> se unisci la mancata revisione prezzi all’assenza di proroga del caro materiali, come garantiamo il futuro?</w:t>
      </w:r>
      <w:r>
        <w:t>”</w:t>
      </w:r>
    </w:p>
    <w:p w14:paraId="574590D9" w14:textId="5A532AF5" w:rsidR="00EA271B" w:rsidRPr="00EA271B" w:rsidRDefault="00EA271B" w:rsidP="00EA271B">
      <w:r w:rsidRPr="00EA271B">
        <w:t>E ancora: “L</w:t>
      </w:r>
      <w:r w:rsidRPr="00EA271B">
        <w:t xml:space="preserve">’effetto </w:t>
      </w:r>
      <w:r w:rsidRPr="00EA271B">
        <w:t xml:space="preserve">della </w:t>
      </w:r>
      <w:r w:rsidRPr="00EA271B">
        <w:t>revisione è neutralizzato, il che significa che o è annullato o è minimo con buona pace del Pil di questo paese che senza imprese sane e forti non si costruisce</w:t>
      </w:r>
      <w:r w:rsidRPr="00EA271B">
        <w:t>”</w:t>
      </w:r>
      <w:r w:rsidRPr="00EA271B">
        <w:t>.</w:t>
      </w:r>
    </w:p>
    <w:p w14:paraId="22D2CA8C" w14:textId="5BFC23F6" w:rsidR="00EA271B" w:rsidRDefault="00EA271B" w:rsidP="00EA271B">
      <w:r w:rsidRPr="00EA271B">
        <w:t>Anche sulle soglie di gara il testo parla chiaro e non le modifica</w:t>
      </w:r>
      <w:r w:rsidRPr="00EA271B">
        <w:t xml:space="preserve"> e per la nostra categoria anche questo passaggio risulta deludente: “</w:t>
      </w:r>
      <w:r w:rsidRPr="00EA271B">
        <w:t>Noi avevamo chiesto di abbassare la soglia dei 5 milioni sotto la quale si va in negoziata a 3 milioni e chiesto anche un po’ di concorrenza sui settori speciali</w:t>
      </w:r>
      <w:r w:rsidRPr="00EA271B">
        <w:t>”</w:t>
      </w:r>
      <w:r w:rsidRPr="00EA271B">
        <w:t>.</w:t>
      </w:r>
    </w:p>
    <w:p w14:paraId="20BFC260" w14:textId="087B64C4" w:rsidR="00EA271B" w:rsidRDefault="00EA271B" w:rsidP="00EA271B">
      <w:r>
        <w:t xml:space="preserve">Si pubblica in allegato il testo dello </w:t>
      </w:r>
      <w:r w:rsidRPr="00786044">
        <w:t xml:space="preserve">schema </w:t>
      </w:r>
      <w:r>
        <w:t xml:space="preserve">di Correttivo </w:t>
      </w:r>
      <w:r>
        <w:t>entrato in CdM</w:t>
      </w:r>
      <w:r>
        <w:t xml:space="preserve"> e la prima analisi effettuata dall’ufficio Direzione Legislazione Opere Pubbliche di Ance.</w:t>
      </w:r>
    </w:p>
    <w:p w14:paraId="3266408D" w14:textId="112B89E9" w:rsidR="00EA271B" w:rsidRDefault="00EA271B" w:rsidP="00EA271B">
      <w:r>
        <w:t>Gli uffici di Ance Brescia rimangono a disposizione per eventuali chiarimenti.</w:t>
      </w:r>
    </w:p>
    <w:p w14:paraId="65D46F06" w14:textId="77777777" w:rsidR="00EA271B" w:rsidRDefault="00EA271B" w:rsidP="00EA271B"/>
    <w:p w14:paraId="161943AB" w14:textId="198D0628" w:rsidR="00EA271B" w:rsidRDefault="00EA271B" w:rsidP="00EA271B">
      <w:r>
        <w:t xml:space="preserve">ALLEGATI: </w:t>
      </w:r>
    </w:p>
    <w:p w14:paraId="3442269C" w14:textId="24D8869B" w:rsidR="00EA271B" w:rsidRDefault="00EA271B" w:rsidP="00EA271B">
      <w:r w:rsidRPr="00EA271B">
        <w:t xml:space="preserve">04.01 ALLEGATO Correttivo - SCHEMA DLGS EV 21 10 2024 </w:t>
      </w:r>
      <w:proofErr w:type="spellStart"/>
      <w:r w:rsidRPr="00EA271B">
        <w:t>CdM</w:t>
      </w:r>
      <w:proofErr w:type="spellEnd"/>
    </w:p>
    <w:p w14:paraId="7403D343" w14:textId="33F4FC8E" w:rsidR="00EA271B" w:rsidRDefault="00EA271B" w:rsidP="00EA271B">
      <w:r w:rsidRPr="00EA271B">
        <w:t>04.01 ALLEGATO ANCE Analisi testo in entrata CDM decreto correttivo codice</w:t>
      </w:r>
    </w:p>
    <w:p w14:paraId="1B4A2317" w14:textId="77777777" w:rsidR="00EA271B" w:rsidRPr="00EA271B" w:rsidRDefault="00EA271B" w:rsidP="00EA271B"/>
    <w:p w14:paraId="094EA318" w14:textId="77777777" w:rsidR="00EA271B" w:rsidRPr="00AB1423" w:rsidRDefault="00EA271B" w:rsidP="00786044"/>
    <w:p w14:paraId="35248721" w14:textId="77777777" w:rsidR="00786044" w:rsidRPr="00786044" w:rsidRDefault="00786044" w:rsidP="00786044">
      <w:pPr>
        <w:rPr>
          <w:b/>
          <w:bCs/>
        </w:rPr>
      </w:pPr>
    </w:p>
    <w:p w14:paraId="1A27F39C" w14:textId="77777777" w:rsidR="00786044" w:rsidRPr="00786044" w:rsidRDefault="00786044" w:rsidP="00786044"/>
    <w:p w14:paraId="2320A8EB" w14:textId="5560C5E4" w:rsidR="00786044" w:rsidRDefault="00786044" w:rsidP="00786044">
      <w:pPr>
        <w:rPr>
          <w:b/>
          <w:bCs/>
        </w:rPr>
      </w:pPr>
    </w:p>
    <w:p w14:paraId="6F7A4209" w14:textId="77777777" w:rsidR="00786044" w:rsidRPr="00786044" w:rsidRDefault="00786044" w:rsidP="00786044"/>
    <w:sectPr w:rsidR="00786044" w:rsidRPr="007860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16BB7"/>
    <w:multiLevelType w:val="multilevel"/>
    <w:tmpl w:val="469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63926"/>
    <w:multiLevelType w:val="multilevel"/>
    <w:tmpl w:val="3A32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463669">
    <w:abstractNumId w:val="1"/>
  </w:num>
  <w:num w:numId="2" w16cid:durableId="181706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44"/>
    <w:rsid w:val="00036C11"/>
    <w:rsid w:val="00203252"/>
    <w:rsid w:val="00360E86"/>
    <w:rsid w:val="004229F1"/>
    <w:rsid w:val="00454372"/>
    <w:rsid w:val="004C14C0"/>
    <w:rsid w:val="00533399"/>
    <w:rsid w:val="00780D7B"/>
    <w:rsid w:val="00786044"/>
    <w:rsid w:val="008C15C2"/>
    <w:rsid w:val="0094635C"/>
    <w:rsid w:val="009D25CA"/>
    <w:rsid w:val="00AF1525"/>
    <w:rsid w:val="00B11AD7"/>
    <w:rsid w:val="00BD3EBA"/>
    <w:rsid w:val="00D67F6C"/>
    <w:rsid w:val="00E47401"/>
    <w:rsid w:val="00EA271B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7EF2"/>
  <w15:chartTrackingRefBased/>
  <w15:docId w15:val="{13D90CAF-7218-49E0-9338-722F0993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6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6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60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6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60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6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6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6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6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6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6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60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604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604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60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60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60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60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6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6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6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6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6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60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60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604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6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604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604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860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04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6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erno.it/it/articolo/consiglio-dei-ministri-n-101/268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Meschini</dc:creator>
  <cp:keywords/>
  <dc:description/>
  <cp:lastModifiedBy>Sara Meschini</cp:lastModifiedBy>
  <cp:revision>2</cp:revision>
  <dcterms:created xsi:type="dcterms:W3CDTF">2024-10-28T10:06:00Z</dcterms:created>
  <dcterms:modified xsi:type="dcterms:W3CDTF">2024-10-28T10:27:00Z</dcterms:modified>
</cp:coreProperties>
</file>